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深圳市消防救援支队水上大队采购配菜及配料服务项目需求公示</w:t>
      </w:r>
    </w:p>
    <w:p>
      <w:pPr>
        <w:pStyle w:val="20"/>
        <w:numPr>
          <w:ilvl w:val="0"/>
          <w:numId w:val="2"/>
        </w:numPr>
        <w:tabs>
          <w:tab w:val="left" w:pos="420"/>
        </w:tabs>
        <w:spacing w:line="440" w:lineRule="exact"/>
        <w:ind w:left="420" w:right="57" w:hanging="420" w:firstLineChars="0"/>
        <w:outlineLvl w:val="0"/>
        <w:rPr>
          <w:rStyle w:val="21"/>
          <w:rFonts w:ascii="宋体" w:hAnsi="宋体" w:cs="宋体"/>
          <w:sz w:val="24"/>
        </w:rPr>
      </w:pPr>
      <w:r>
        <w:rPr>
          <w:rStyle w:val="21"/>
          <w:rFonts w:hint="eastAsia" w:ascii="宋体" w:hAnsi="宋体" w:cs="宋体"/>
          <w:sz w:val="24"/>
        </w:rPr>
        <w:t>项目概况</w:t>
      </w:r>
    </w:p>
    <w:p>
      <w:pPr>
        <w:pStyle w:val="22"/>
        <w:numPr>
          <w:ilvl w:val="0"/>
          <w:numId w:val="3"/>
        </w:numPr>
        <w:tabs>
          <w:tab w:val="left" w:pos="364"/>
        </w:tabs>
        <w:spacing w:beforeLines="20" w:after="0" w:line="440" w:lineRule="exact"/>
        <w:ind w:left="1638" w:right="-126" w:rightChars="-60" w:hanging="1638"/>
        <w:rPr>
          <w:rFonts w:ascii="宋体" w:hAnsi="宋体" w:eastAsia="宋体" w:cs="宋体"/>
          <w:sz w:val="21"/>
          <w:szCs w:val="21"/>
          <w:lang w:eastAsia="zh-CN"/>
        </w:rPr>
      </w:pPr>
      <w:r>
        <w:rPr>
          <w:rFonts w:hint="eastAsia" w:ascii="宋体" w:hAnsi="宋体" w:eastAsia="宋体" w:cs="宋体"/>
          <w:sz w:val="21"/>
          <w:szCs w:val="21"/>
          <w:lang w:eastAsia="zh-CN"/>
        </w:rPr>
        <w:t>项目名称：深圳市消防救援支队水上大队采购配菜及配料服务项目</w:t>
      </w:r>
    </w:p>
    <w:p>
      <w:pPr>
        <w:pStyle w:val="22"/>
        <w:numPr>
          <w:ilvl w:val="0"/>
          <w:numId w:val="3"/>
        </w:numPr>
        <w:spacing w:beforeLines="20" w:after="0" w:line="440" w:lineRule="exact"/>
        <w:ind w:left="420" w:hanging="420"/>
        <w:rPr>
          <w:rFonts w:ascii="宋体" w:hAnsi="宋体" w:eastAsia="宋体" w:cs="宋体"/>
          <w:sz w:val="21"/>
          <w:szCs w:val="21"/>
          <w:lang w:eastAsia="zh-CN"/>
        </w:rPr>
      </w:pPr>
      <w:r>
        <w:rPr>
          <w:rFonts w:hint="eastAsia" w:ascii="宋体" w:hAnsi="宋体" w:eastAsia="宋体" w:cs="宋体"/>
          <w:sz w:val="21"/>
          <w:szCs w:val="21"/>
          <w:lang w:eastAsia="zh-CN"/>
        </w:rPr>
        <w:t>服务期限：签订合同后一年</w:t>
      </w:r>
    </w:p>
    <w:p>
      <w:pPr>
        <w:pStyle w:val="22"/>
        <w:numPr>
          <w:ilvl w:val="0"/>
          <w:numId w:val="3"/>
        </w:numPr>
        <w:spacing w:beforeLines="20" w:after="0" w:line="440" w:lineRule="exact"/>
        <w:ind w:left="420" w:hanging="420"/>
        <w:rPr>
          <w:rFonts w:ascii="宋体" w:hAnsi="宋体" w:eastAsia="宋体" w:cs="宋体"/>
          <w:sz w:val="21"/>
          <w:szCs w:val="21"/>
          <w:lang w:eastAsia="zh-CN"/>
        </w:rPr>
      </w:pPr>
      <w:r>
        <w:rPr>
          <w:rFonts w:hint="eastAsia" w:ascii="宋体" w:hAnsi="宋体" w:eastAsia="宋体" w:cs="宋体"/>
          <w:sz w:val="21"/>
          <w:szCs w:val="21"/>
          <w:lang w:eastAsia="zh-CN"/>
        </w:rPr>
        <w:t>服务地点：深圳市消防救援支队水上大队盐田站食堂。</w:t>
      </w:r>
    </w:p>
    <w:p>
      <w:pPr>
        <w:pStyle w:val="22"/>
        <w:numPr>
          <w:ilvl w:val="0"/>
          <w:numId w:val="3"/>
        </w:numPr>
        <w:spacing w:beforeLines="20" w:after="0" w:line="440" w:lineRule="exact"/>
        <w:ind w:left="420" w:hanging="420"/>
        <w:rPr>
          <w:rFonts w:ascii="宋体" w:hAnsi="宋体" w:eastAsia="宋体" w:cs="宋体"/>
          <w:sz w:val="21"/>
          <w:szCs w:val="21"/>
          <w:lang w:eastAsia="zh-CN"/>
        </w:rPr>
      </w:pPr>
      <w:r>
        <w:rPr>
          <w:rFonts w:hint="eastAsia" w:ascii="宋体" w:hAnsi="宋体" w:eastAsia="宋体" w:cs="宋体"/>
          <w:sz w:val="21"/>
          <w:szCs w:val="21"/>
          <w:lang w:eastAsia="zh-CN"/>
        </w:rPr>
        <w:t>预算金额：￥1,160,700.00 元</w:t>
      </w:r>
    </w:p>
    <w:p>
      <w:pPr>
        <w:pStyle w:val="20"/>
        <w:numPr>
          <w:ilvl w:val="0"/>
          <w:numId w:val="2"/>
        </w:numPr>
        <w:tabs>
          <w:tab w:val="left" w:pos="420"/>
        </w:tabs>
        <w:spacing w:line="440" w:lineRule="exact"/>
        <w:ind w:left="420" w:right="57" w:hanging="420" w:firstLineChars="0"/>
        <w:outlineLvl w:val="0"/>
        <w:rPr>
          <w:rFonts w:ascii="宋体" w:hAnsi="宋体" w:eastAsia="宋体" w:cs="宋体"/>
          <w:szCs w:val="21"/>
        </w:rPr>
      </w:pPr>
      <w:r>
        <w:rPr>
          <w:rFonts w:hint="eastAsia" w:ascii="宋体" w:hAnsi="宋体" w:eastAsia="宋体" w:cs="宋体"/>
          <w:b/>
          <w:bCs/>
          <w:sz w:val="24"/>
        </w:rPr>
        <w:t>投标人的资格要求</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 xml:space="preserve">1.满足《中华人民共和国政府采购法》第二十二条规定（由供应商在“投标人资格声明函”中作出声明，提供“投标人资格声明函”，投标人资格声明函格式详见招标文件“投标文件的格式”）； </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 xml:space="preserve">2.落实政府采购政策需满足的资格要求：无； </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 xml:space="preserve">3.本项目的特定资格要求： </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(2)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提供“投标人资格声明函”，投标人资格声明函格式详见招标文件“投标文件的格式”）。</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(3)投标人为采购人提供整体设计、规范编制或者本项目管理、监理、检测等服务的，不得再参与此次采购项目的投标；</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(4)本项目不接受联合体投标，不允许分包、转包。</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(5)已办理报名并成功购买本招标文件的供应商。</w:t>
      </w:r>
    </w:p>
    <w:p>
      <w:pPr>
        <w:pStyle w:val="7"/>
        <w:tabs>
          <w:tab w:val="left" w:pos="567"/>
        </w:tabs>
        <w:spacing w:beforeLines="25" w:afterLines="25" w:line="360" w:lineRule="auto"/>
        <w:ind w:firstLine="0"/>
        <w:rPr>
          <w:rFonts w:ascii="宋体" w:hAnsi="宋体" w:eastAsia="宋体" w:cs="宋体"/>
          <w:sz w:val="21"/>
          <w:szCs w:val="21"/>
        </w:rPr>
      </w:pPr>
      <w:r>
        <w:rPr>
          <w:rFonts w:hint="eastAsia" w:ascii="宋体" w:hAnsi="宋体" w:eastAsia="宋体" w:cs="宋体"/>
          <w:sz w:val="21"/>
          <w:szCs w:val="21"/>
        </w:rPr>
        <w:t>(6)本项目不接受投标人选用进口产品参与投标（进口产品是指通过海关验放进入中国境内且产自关境外的产品）。</w:t>
      </w:r>
    </w:p>
    <w:p>
      <w:pPr>
        <w:pStyle w:val="22"/>
        <w:numPr>
          <w:ilvl w:val="0"/>
          <w:numId w:val="2"/>
        </w:numPr>
        <w:spacing w:beforeLines="20" w:after="0" w:line="440" w:lineRule="exact"/>
        <w:ind w:left="420" w:hanging="420"/>
        <w:rPr>
          <w:rFonts w:ascii="宋体" w:hAnsi="宋体" w:eastAsia="宋体" w:cs="宋体"/>
          <w:b/>
          <w:bCs/>
          <w:sz w:val="24"/>
        </w:rPr>
      </w:pPr>
      <w:r>
        <w:rPr>
          <w:rFonts w:hint="eastAsia" w:ascii="宋体" w:hAnsi="宋体" w:eastAsia="宋体" w:cs="宋体"/>
          <w:b/>
          <w:bCs/>
          <w:sz w:val="24"/>
        </w:rPr>
        <w:t>服务内容及要求</w:t>
      </w:r>
    </w:p>
    <w:p>
      <w:pPr>
        <w:spacing w:line="360" w:lineRule="auto"/>
        <w:rPr>
          <w:bCs/>
          <w:szCs w:val="21"/>
        </w:rPr>
      </w:pPr>
      <w:r>
        <w:rPr>
          <w:rFonts w:hint="eastAsia"/>
          <w:bCs/>
          <w:szCs w:val="21"/>
        </w:rPr>
        <w:t>（一）服务内容</w:t>
      </w:r>
    </w:p>
    <w:p>
      <w:pPr>
        <w:spacing w:line="360" w:lineRule="auto"/>
        <w:rPr>
          <w:bCs/>
          <w:szCs w:val="21"/>
        </w:rPr>
      </w:pPr>
      <w:r>
        <w:rPr>
          <w:rFonts w:hint="eastAsia"/>
          <w:bCs/>
          <w:szCs w:val="21"/>
        </w:rPr>
        <w:t>为水上盐田站食堂（含大队部）选取配菜公司实行配菜服务，配送范围为粮谷（米、面）、蔬菜、水果、禽畜生肉、冻品、水产品、副食品、干货、杂货、调料等农副产品。根据水上大队编制数，日常就餐人数53人，具体明细为盐田站食堂47人（盐田站30人+大队干部6人+船长轮机长6人+大队部文员3人+厨师2人），蛇口站食堂6人（船长轮机长6人）。</w:t>
      </w:r>
    </w:p>
    <w:p>
      <w:pPr>
        <w:spacing w:line="360" w:lineRule="auto"/>
        <w:rPr>
          <w:rFonts w:hint="eastAsia" w:eastAsiaTheme="minorEastAsia"/>
          <w:bCs/>
          <w:szCs w:val="21"/>
          <w:lang w:eastAsia="zh-CN"/>
        </w:rPr>
      </w:pPr>
      <w:r>
        <w:rPr>
          <w:rFonts w:hint="eastAsia"/>
          <w:bCs/>
          <w:szCs w:val="21"/>
        </w:rPr>
        <w:t>（二）具体服务要求</w:t>
      </w:r>
      <w:r>
        <w:rPr>
          <w:rFonts w:hint="eastAsia"/>
          <w:bCs/>
          <w:szCs w:val="21"/>
          <w:lang w:eastAsia="zh-CN"/>
        </w:rPr>
        <w:tab/>
      </w:r>
    </w:p>
    <w:p>
      <w:pPr>
        <w:spacing w:line="360" w:lineRule="auto"/>
        <w:rPr>
          <w:bCs/>
          <w:szCs w:val="21"/>
        </w:rPr>
      </w:pPr>
      <w:r>
        <w:rPr>
          <w:rFonts w:hint="eastAsia"/>
          <w:bCs/>
          <w:szCs w:val="21"/>
        </w:rPr>
        <w:t>1.服务内容：食堂原材料配送服务。</w:t>
      </w:r>
      <w:bookmarkStart w:id="0" w:name="_GoBack"/>
      <w:bookmarkEnd w:id="0"/>
    </w:p>
    <w:p>
      <w:pPr>
        <w:spacing w:line="360" w:lineRule="auto"/>
        <w:rPr>
          <w:bCs/>
          <w:szCs w:val="21"/>
        </w:rPr>
      </w:pPr>
      <w:r>
        <w:rPr>
          <w:rFonts w:hint="eastAsia"/>
          <w:bCs/>
          <w:szCs w:val="21"/>
        </w:rPr>
        <w:t>2.人员要求：供应商所有供货员工凭健康证上岗。根据各单位需求，每日必须派有工作人员跟随送货车至采购方指定地点，配合采购方工作人员工作后，并留下一至两名工作人员随时配送当天所需物品。</w:t>
      </w:r>
    </w:p>
    <w:p>
      <w:pPr>
        <w:spacing w:line="360" w:lineRule="auto"/>
        <w:rPr>
          <w:bCs/>
          <w:szCs w:val="21"/>
        </w:rPr>
      </w:pPr>
      <w:r>
        <w:rPr>
          <w:rFonts w:hint="eastAsia"/>
          <w:bCs/>
          <w:szCs w:val="21"/>
        </w:rPr>
        <w:t>3.投入设施要求：</w:t>
      </w:r>
    </w:p>
    <w:p>
      <w:pPr>
        <w:spacing w:line="360" w:lineRule="auto"/>
        <w:rPr>
          <w:bCs/>
          <w:szCs w:val="21"/>
        </w:rPr>
      </w:pPr>
      <w:r>
        <w:rPr>
          <w:rFonts w:hint="eastAsia"/>
          <w:bCs/>
          <w:szCs w:val="21"/>
        </w:rPr>
        <w:t>3.1.有配送车间，有保鲜仓库、冷藏仓库、干货仓库等设施设备；</w:t>
      </w:r>
    </w:p>
    <w:p>
      <w:pPr>
        <w:spacing w:line="360" w:lineRule="auto"/>
        <w:rPr>
          <w:bCs/>
          <w:szCs w:val="21"/>
        </w:rPr>
      </w:pPr>
      <w:r>
        <w:rPr>
          <w:rFonts w:hint="eastAsia"/>
          <w:bCs/>
          <w:szCs w:val="21"/>
        </w:rPr>
        <w:t>3.2.有具备相关的检测仪器,仪器可以满足日常检测要求；</w:t>
      </w:r>
    </w:p>
    <w:p>
      <w:pPr>
        <w:spacing w:line="360" w:lineRule="auto"/>
        <w:rPr>
          <w:bCs/>
          <w:szCs w:val="21"/>
        </w:rPr>
      </w:pPr>
      <w:r>
        <w:rPr>
          <w:rFonts w:hint="eastAsia"/>
          <w:bCs/>
          <w:szCs w:val="21"/>
        </w:rPr>
        <w:t>3.3.具备专车配送的能力。</w:t>
      </w:r>
    </w:p>
    <w:p>
      <w:pPr>
        <w:spacing w:line="360" w:lineRule="auto"/>
        <w:rPr>
          <w:bCs/>
          <w:szCs w:val="21"/>
        </w:rPr>
      </w:pPr>
      <w:r>
        <w:rPr>
          <w:rFonts w:hint="eastAsia"/>
          <w:bCs/>
          <w:szCs w:val="21"/>
        </w:rPr>
        <w:t>（三）其他</w:t>
      </w:r>
    </w:p>
    <w:p>
      <w:pPr>
        <w:spacing w:line="360" w:lineRule="auto"/>
        <w:rPr>
          <w:bCs/>
          <w:szCs w:val="21"/>
        </w:rPr>
      </w:pPr>
      <w:r>
        <w:rPr>
          <w:rFonts w:hint="eastAsia"/>
          <w:bCs/>
          <w:szCs w:val="21"/>
        </w:rPr>
        <w:t>1.价格确认：</w:t>
      </w:r>
    </w:p>
    <w:p>
      <w:pPr>
        <w:spacing w:line="360" w:lineRule="auto"/>
        <w:rPr>
          <w:bCs/>
          <w:szCs w:val="21"/>
        </w:rPr>
      </w:pPr>
      <w:r>
        <w:rPr>
          <w:rFonts w:hint="eastAsia"/>
          <w:bCs/>
          <w:szCs w:val="21"/>
        </w:rPr>
        <w:t>销售价格含税前不得高于同等级同规格的零售市场价格，由供应商每 七 天调整更新一次后书面或电子邮件方式提前一天呈送给采购人确认，经采购人工作人员确认价格后再向供应商下订单（如采购人工作人员未确认价格表就直接向供应商下订单或已签收送货清单，即视为采购人已默认接受供应商提供的本期价格表）；当期货款严格按当期价格表结算,采购人不得以任何理由折扣或拖欠货款。若遇台风、暴雨等自然灾害和不可抗力造成个别品种价格上浮较大需临时调整，供应商应及时向采购人书面申请，并征得采购人书面同意后方可上调价格。</w:t>
      </w:r>
    </w:p>
    <w:p>
      <w:pPr>
        <w:spacing w:line="360" w:lineRule="auto"/>
        <w:rPr>
          <w:bCs/>
          <w:szCs w:val="21"/>
        </w:rPr>
      </w:pPr>
      <w:r>
        <w:rPr>
          <w:rFonts w:hint="eastAsia"/>
          <w:bCs/>
          <w:szCs w:val="21"/>
        </w:rPr>
        <w:t>2.送货时间要求：</w:t>
      </w:r>
    </w:p>
    <w:p>
      <w:pPr>
        <w:spacing w:line="360" w:lineRule="auto"/>
        <w:rPr>
          <w:bCs/>
          <w:szCs w:val="21"/>
        </w:rPr>
      </w:pPr>
      <w:r>
        <w:rPr>
          <w:rFonts w:hint="eastAsia"/>
          <w:bCs/>
          <w:szCs w:val="21"/>
        </w:rPr>
        <w:t>一般为当天上午08:30前将采购人所订的货物送至采购方指定地点（如遇特殊情况，采购人可以改变送货时间，但应提前通知供应商。）</w:t>
      </w:r>
    </w:p>
    <w:p>
      <w:pPr>
        <w:spacing w:line="360" w:lineRule="auto"/>
        <w:rPr>
          <w:bCs/>
          <w:szCs w:val="21"/>
        </w:rPr>
      </w:pPr>
      <w:r>
        <w:rPr>
          <w:rFonts w:hint="eastAsia"/>
          <w:bCs/>
          <w:szCs w:val="21"/>
        </w:rPr>
        <w:t>3.缺货及退货处理：</w:t>
      </w:r>
    </w:p>
    <w:p>
      <w:pPr>
        <w:spacing w:line="360" w:lineRule="auto"/>
        <w:rPr>
          <w:bCs/>
          <w:szCs w:val="21"/>
        </w:rPr>
      </w:pPr>
      <w:r>
        <w:rPr>
          <w:rFonts w:hint="eastAsia"/>
          <w:bCs/>
          <w:szCs w:val="21"/>
        </w:rPr>
        <w:t xml:space="preserve">如遇某一品种短缺或质量太差而确实无法满足采购人需求时，供应商须至少提前两小时通知采购人，在征得采购人同意的前提下进行相应品种的调整和商讨确定其它解决方案。对于货不对板或达不到采购人订单注明质量要求的品种，采购人要求退货或换货的，供应商应在两小时内补送到位，供应商补送不到位视为违约一次。 </w:t>
      </w:r>
    </w:p>
    <w:p>
      <w:pPr>
        <w:spacing w:line="360" w:lineRule="auto"/>
        <w:rPr>
          <w:bCs/>
          <w:szCs w:val="21"/>
        </w:rPr>
      </w:pPr>
      <w:r>
        <w:rPr>
          <w:rFonts w:hint="eastAsia"/>
          <w:bCs/>
          <w:szCs w:val="21"/>
        </w:rPr>
        <w:t>4.采购人临时加补货或接待任务处理：</w:t>
      </w:r>
    </w:p>
    <w:p>
      <w:pPr>
        <w:spacing w:line="360" w:lineRule="auto"/>
        <w:rPr>
          <w:bCs/>
          <w:szCs w:val="21"/>
        </w:rPr>
      </w:pPr>
      <w:r>
        <w:rPr>
          <w:rFonts w:hint="eastAsia"/>
          <w:bCs/>
          <w:szCs w:val="21"/>
        </w:rPr>
        <w:t>当采购人临时增加用餐人数或有接待餐任务时，应提前两小时下订单，供应商应尽力确保供货，以使采购人能准时开餐；临时加补货属零星采购并专车配送，配送价格应依据当时采购价格如实定价。</w:t>
      </w:r>
    </w:p>
    <w:p>
      <w:pPr>
        <w:spacing w:line="360" w:lineRule="auto"/>
        <w:rPr>
          <w:bCs/>
          <w:szCs w:val="21"/>
        </w:rPr>
      </w:pPr>
      <w:r>
        <w:rPr>
          <w:rFonts w:hint="eastAsia"/>
          <w:bCs/>
          <w:szCs w:val="21"/>
        </w:rPr>
        <w:t>5.验收数量：</w:t>
      </w:r>
    </w:p>
    <w:p>
      <w:pPr>
        <w:spacing w:line="360" w:lineRule="auto"/>
        <w:rPr>
          <w:bCs/>
          <w:szCs w:val="21"/>
        </w:rPr>
      </w:pPr>
      <w:r>
        <w:rPr>
          <w:rFonts w:hint="eastAsia"/>
          <w:bCs/>
          <w:szCs w:val="21"/>
        </w:rPr>
        <w:t>供应商应参考采购人订单数量配送，以采购人实际验收数量作为货款结算依据；供应商每次送货提供一式 三 联的送货清单供采购人验货后双方签字确认，全部作为送、收货及货款结算的凭证。</w:t>
      </w:r>
    </w:p>
    <w:p>
      <w:pPr>
        <w:spacing w:line="360" w:lineRule="auto"/>
        <w:rPr>
          <w:bCs/>
          <w:szCs w:val="21"/>
        </w:rPr>
      </w:pPr>
      <w:r>
        <w:rPr>
          <w:rFonts w:hint="eastAsia"/>
          <w:bCs/>
          <w:szCs w:val="21"/>
        </w:rPr>
        <w:t>6.责任方面</w:t>
      </w:r>
    </w:p>
    <w:p>
      <w:pPr>
        <w:spacing w:line="360" w:lineRule="auto"/>
        <w:rPr>
          <w:bCs/>
          <w:szCs w:val="21"/>
        </w:rPr>
      </w:pPr>
      <w:r>
        <w:rPr>
          <w:rFonts w:hint="eastAsia"/>
          <w:bCs/>
          <w:szCs w:val="21"/>
        </w:rPr>
        <w:t>（1）严禁配送假冒、变质、过期的产品，不得弄虚作假或以次充好，对于不符合质量的品种采购方（采购单位）有权要求退货或换货；</w:t>
      </w:r>
    </w:p>
    <w:p>
      <w:pPr>
        <w:spacing w:line="360" w:lineRule="auto"/>
        <w:rPr>
          <w:bCs/>
          <w:szCs w:val="21"/>
        </w:rPr>
      </w:pPr>
      <w:r>
        <w:rPr>
          <w:rFonts w:hint="eastAsia"/>
          <w:bCs/>
          <w:szCs w:val="21"/>
        </w:rPr>
        <w:t>（2）因供应的货物质量达不到国家有关食品安全标准而造成食物中毒或其它后果，经卫生防疫部门鉴定属于供应商（配送单位）责任的，其产生的一切法律和经济责任全部由供应商承担；</w:t>
      </w:r>
    </w:p>
    <w:p>
      <w:pPr>
        <w:spacing w:line="360" w:lineRule="auto"/>
        <w:rPr>
          <w:bCs/>
          <w:szCs w:val="21"/>
        </w:rPr>
      </w:pPr>
      <w:r>
        <w:rPr>
          <w:rFonts w:hint="eastAsia"/>
          <w:bCs/>
          <w:szCs w:val="21"/>
        </w:rPr>
        <w:t>（3） 因配送运输中出现人身安全事故，供应商独立承担一切刑事、民事责任，与采购方无关。</w:t>
      </w:r>
    </w:p>
    <w:p>
      <w:pPr>
        <w:pStyle w:val="22"/>
        <w:numPr>
          <w:ilvl w:val="0"/>
          <w:numId w:val="2"/>
        </w:numPr>
        <w:spacing w:beforeLines="20" w:after="0" w:line="440" w:lineRule="exact"/>
        <w:ind w:left="420" w:hanging="420"/>
        <w:rPr>
          <w:rFonts w:ascii="宋体" w:hAnsi="宋体" w:eastAsia="宋体" w:cs="宋体"/>
          <w:b/>
          <w:bCs/>
          <w:sz w:val="24"/>
          <w:lang w:eastAsia="zh-CN"/>
        </w:rPr>
      </w:pPr>
      <w:r>
        <w:rPr>
          <w:rFonts w:hint="eastAsia" w:ascii="宋体" w:hAnsi="宋体" w:eastAsia="宋体" w:cs="宋体"/>
          <w:b/>
          <w:bCs/>
          <w:sz w:val="24"/>
          <w:lang w:eastAsia="zh-CN"/>
        </w:rPr>
        <w:t>商务需求</w:t>
      </w:r>
    </w:p>
    <w:p>
      <w:pPr>
        <w:spacing w:line="360" w:lineRule="auto"/>
        <w:rPr>
          <w:rFonts w:ascii="宋体" w:hAnsi="宋体"/>
          <w:szCs w:val="21"/>
        </w:rPr>
      </w:pPr>
      <w:r>
        <w:rPr>
          <w:rFonts w:hint="eastAsia" w:ascii="宋体" w:hAnsi="宋体"/>
          <w:szCs w:val="21"/>
        </w:rPr>
        <w:t>（一）服务期限：一年。</w:t>
      </w:r>
    </w:p>
    <w:p>
      <w:pPr>
        <w:spacing w:line="360" w:lineRule="auto"/>
        <w:rPr>
          <w:rFonts w:ascii="宋体" w:hAnsi="宋体"/>
          <w:szCs w:val="21"/>
        </w:rPr>
      </w:pPr>
      <w:r>
        <w:rPr>
          <w:rFonts w:hint="eastAsia" w:ascii="宋体" w:hAnsi="宋体"/>
          <w:szCs w:val="21"/>
        </w:rPr>
        <w:t>（二）服务地点：深圳市消防救援支队水上大队盐田站食堂。</w:t>
      </w:r>
    </w:p>
    <w:p>
      <w:pPr>
        <w:spacing w:line="360" w:lineRule="auto"/>
        <w:rPr>
          <w:rFonts w:ascii="宋体" w:hAnsi="宋体"/>
          <w:szCs w:val="21"/>
        </w:rPr>
      </w:pPr>
      <w:r>
        <w:rPr>
          <w:rFonts w:hint="eastAsia" w:ascii="宋体" w:hAnsi="宋体"/>
          <w:szCs w:val="21"/>
        </w:rPr>
        <w:t>（三）报价方式及说明</w:t>
      </w:r>
    </w:p>
    <w:p>
      <w:pPr>
        <w:spacing w:line="360" w:lineRule="auto"/>
        <w:rPr>
          <w:rFonts w:ascii="宋体" w:hAnsi="宋体"/>
          <w:szCs w:val="21"/>
        </w:rPr>
      </w:pPr>
      <w:r>
        <w:rPr>
          <w:rFonts w:hint="eastAsia" w:ascii="宋体" w:hAnsi="宋体"/>
          <w:szCs w:val="21"/>
        </w:rPr>
        <w:t>3.1.投标人须按折扣率进行报价（如：投标人拟按基准价下浮 5% ，则投标人在填报开标一览表时，投标报价须填报：0.95）。由于项目清单无法确定，本项目总金额以单个项目实际决算审计服务费用之和为准；</w:t>
      </w:r>
    </w:p>
    <w:p>
      <w:pPr>
        <w:spacing w:line="360" w:lineRule="auto"/>
        <w:rPr>
          <w:rFonts w:ascii="宋体" w:hAnsi="宋体"/>
          <w:szCs w:val="21"/>
        </w:rPr>
      </w:pPr>
      <w:r>
        <w:rPr>
          <w:rFonts w:hint="eastAsia" w:ascii="宋体" w:hAnsi="宋体"/>
          <w:szCs w:val="21"/>
        </w:rPr>
        <w:t>3.2.报价包括供应货物和货物运输到采购单位，服务费、人工费、管理费、利润、保险、税金等一切将可能发生的费用；</w:t>
      </w:r>
    </w:p>
    <w:p>
      <w:pPr>
        <w:spacing w:line="360" w:lineRule="auto"/>
        <w:rPr>
          <w:rFonts w:ascii="宋体" w:hAnsi="宋体"/>
          <w:szCs w:val="21"/>
        </w:rPr>
      </w:pPr>
      <w:r>
        <w:rPr>
          <w:rFonts w:hint="eastAsia" w:ascii="宋体" w:hAnsi="宋体"/>
          <w:szCs w:val="21"/>
        </w:rPr>
        <w:t>3.3.投标人的投标报价，应是本项目招标范围和招标文件所列的各项内容中所述的全部，不得以任何理由予以重复，并以投标人在投标书中提出的综合单价或总价为依据；投标人未填综合单价或总价的项目，在实施后，将不得以支付，并视作该项费用已包括在其它有价款的综合单价或总价内；</w:t>
      </w:r>
    </w:p>
    <w:p>
      <w:pPr>
        <w:spacing w:line="360" w:lineRule="auto"/>
        <w:rPr>
          <w:rFonts w:ascii="宋体" w:hAnsi="宋体"/>
          <w:szCs w:val="21"/>
        </w:rPr>
      </w:pPr>
      <w:r>
        <w:rPr>
          <w:rFonts w:hint="eastAsia" w:ascii="宋体" w:hAnsi="宋体"/>
          <w:szCs w:val="21"/>
        </w:rPr>
        <w:t>3.4.投标人应根据本企业的成本自行决定报价，但不得以低于其企业成本的报价投标：①投标人报价明显低于成本或其他通过符合性审查投标人的报价，有可能影响产品质量或者不能诚信履约的，评审委员会应当要求其对成本构成进行介绍，并要求投标人用书面的形式进行报价合理性说明（在保证质量的前提下，能够大幅节省经费的手段或原因）；②未做出报价合理性说明的，评审委员会认定为该报价低于成本价，并按投标无效处理；③供应商的报价说明是否合理，由评审委员会判定；④如该报价成为中标价格，该项目将成为重点监管、重点验收项目。</w:t>
      </w:r>
    </w:p>
    <w:p>
      <w:pPr>
        <w:spacing w:line="360" w:lineRule="auto"/>
        <w:rPr>
          <w:rFonts w:ascii="宋体" w:hAnsi="宋体"/>
          <w:szCs w:val="21"/>
        </w:rPr>
      </w:pPr>
      <w:r>
        <w:rPr>
          <w:rFonts w:hint="eastAsia" w:ascii="宋体" w:hAnsi="宋体"/>
          <w:szCs w:val="21"/>
        </w:rPr>
        <w:t>3.5.投标人采用市场物价（即供、需双方在每两周调查几个批发市场（深圳海吉星国际农产品物流园、深圳市福田农产品批发市场、沃尔玛、山姆会员店、天虹商场等）的各种货物的批发价格的基础上写上确定的执行价格）折扣率方式报结算价。货物实收价（即结算价）= 市场价（即执行价）×折扣率，折扣率即投标报价。</w:t>
      </w:r>
    </w:p>
    <w:p>
      <w:pPr>
        <w:spacing w:line="360" w:lineRule="auto"/>
        <w:rPr>
          <w:rFonts w:ascii="宋体" w:hAnsi="宋体"/>
          <w:szCs w:val="21"/>
        </w:rPr>
      </w:pPr>
      <w:r>
        <w:rPr>
          <w:rFonts w:hint="eastAsia" w:ascii="宋体" w:hAnsi="宋体"/>
          <w:szCs w:val="21"/>
        </w:rPr>
        <w:t>3.6.投标方自行承担所有与准备和参加投标有关的全部费用。无论投标过程中的做法和结果如何，采购人和招标机构均无义务和责任承担这些费用。</w:t>
      </w:r>
    </w:p>
    <w:p>
      <w:pPr>
        <w:spacing w:line="360" w:lineRule="auto"/>
        <w:rPr>
          <w:rFonts w:ascii="宋体" w:hAnsi="宋体"/>
          <w:szCs w:val="21"/>
        </w:rPr>
      </w:pPr>
      <w:r>
        <w:rPr>
          <w:rFonts w:hint="eastAsia" w:ascii="宋体" w:hAnsi="宋体"/>
          <w:szCs w:val="21"/>
        </w:rPr>
        <w:t>（四）质量要求</w:t>
      </w:r>
    </w:p>
    <w:p>
      <w:pPr>
        <w:spacing w:line="360" w:lineRule="auto"/>
        <w:rPr>
          <w:rFonts w:ascii="宋体" w:hAnsi="宋体"/>
          <w:szCs w:val="21"/>
        </w:rPr>
      </w:pPr>
      <w:r>
        <w:rPr>
          <w:rFonts w:hint="eastAsia" w:ascii="宋体" w:hAnsi="宋体"/>
          <w:szCs w:val="21"/>
        </w:rPr>
        <w:t>1.蔬果类应保持较好的色泽和新鲜度，符合国家食品卫生标准，不得有黄叶、腐烂和泥沙等现象，蔬果类农药残留不得超标，提供农药残留检测证明。</w:t>
      </w:r>
    </w:p>
    <w:p>
      <w:pPr>
        <w:spacing w:line="360" w:lineRule="auto"/>
        <w:rPr>
          <w:rFonts w:ascii="宋体" w:hAnsi="宋体"/>
          <w:szCs w:val="21"/>
        </w:rPr>
      </w:pPr>
      <w:r>
        <w:rPr>
          <w:rFonts w:hint="eastAsia" w:ascii="宋体" w:hAnsi="宋体"/>
          <w:szCs w:val="21"/>
        </w:rPr>
        <w:t>2.鲜肉类来源于政府认可的正规肉联厂，保证每日新鲜，提供肉品检验相关证明。</w:t>
      </w:r>
    </w:p>
    <w:p>
      <w:pPr>
        <w:spacing w:line="360" w:lineRule="auto"/>
        <w:rPr>
          <w:rFonts w:ascii="宋体" w:hAnsi="宋体"/>
          <w:szCs w:val="21"/>
        </w:rPr>
      </w:pPr>
      <w:r>
        <w:rPr>
          <w:rFonts w:hint="eastAsia" w:ascii="宋体" w:hAnsi="宋体"/>
          <w:szCs w:val="21"/>
        </w:rPr>
        <w:t>3.海鲜、河鲜类必须鲜活。</w:t>
      </w:r>
    </w:p>
    <w:p>
      <w:pPr>
        <w:spacing w:line="360" w:lineRule="auto"/>
        <w:rPr>
          <w:rFonts w:ascii="宋体" w:hAnsi="宋体"/>
          <w:szCs w:val="21"/>
        </w:rPr>
      </w:pPr>
      <w:r>
        <w:rPr>
          <w:rFonts w:hint="eastAsia" w:ascii="宋体" w:hAnsi="宋体"/>
          <w:szCs w:val="21"/>
        </w:rPr>
        <w:t>4.豆制品来源于政府许可的正规厂商。</w:t>
      </w:r>
    </w:p>
    <w:p>
      <w:pPr>
        <w:spacing w:line="360" w:lineRule="auto"/>
        <w:rPr>
          <w:rFonts w:ascii="宋体" w:hAnsi="宋体"/>
          <w:szCs w:val="21"/>
        </w:rPr>
      </w:pPr>
      <w:r>
        <w:rPr>
          <w:rFonts w:hint="eastAsia" w:ascii="宋体" w:hAnsi="宋体"/>
          <w:szCs w:val="21"/>
        </w:rPr>
        <w:t>5.冻品类应保持良好的外观和等级。</w:t>
      </w:r>
    </w:p>
    <w:p>
      <w:pPr>
        <w:spacing w:line="360" w:lineRule="auto"/>
        <w:rPr>
          <w:rFonts w:ascii="宋体" w:hAnsi="宋体"/>
          <w:szCs w:val="21"/>
        </w:rPr>
      </w:pPr>
      <w:r>
        <w:rPr>
          <w:rFonts w:hint="eastAsia" w:ascii="宋体" w:hAnsi="宋体"/>
          <w:szCs w:val="21"/>
        </w:rPr>
        <w:t>6.粮油、调料类由正规厂商供货，相关证件齐全，符合国家食品卫生标准。</w:t>
      </w:r>
    </w:p>
    <w:p>
      <w:pPr>
        <w:spacing w:line="360" w:lineRule="auto"/>
        <w:rPr>
          <w:rFonts w:ascii="宋体" w:hAnsi="宋体"/>
          <w:szCs w:val="21"/>
        </w:rPr>
      </w:pPr>
      <w:r>
        <w:rPr>
          <w:rFonts w:hint="eastAsia" w:ascii="宋体" w:hAnsi="宋体"/>
          <w:szCs w:val="21"/>
        </w:rPr>
        <w:t>7.供应商严禁配送假冒、变质、过期的农副产品，如配送的农副产品达不到国家有关食品卫生标准而造成采购人食用人员集体食物中毒事件的，经市级以上卫生防疫部门鉴定属实，确属供应商责任的，供应商必须承担由此产生的一切法律责任。</w:t>
      </w:r>
    </w:p>
    <w:p>
      <w:pPr>
        <w:spacing w:line="360" w:lineRule="auto"/>
        <w:rPr>
          <w:rFonts w:ascii="宋体" w:hAnsi="宋体"/>
          <w:szCs w:val="21"/>
        </w:rPr>
      </w:pPr>
      <w:r>
        <w:rPr>
          <w:rFonts w:hint="eastAsia" w:ascii="宋体" w:hAnsi="宋体"/>
          <w:szCs w:val="21"/>
        </w:rPr>
        <w:t>（五）付款方式</w:t>
      </w:r>
    </w:p>
    <w:p>
      <w:pPr>
        <w:spacing w:line="360" w:lineRule="auto"/>
        <w:rPr>
          <w:rFonts w:ascii="宋体" w:hAnsi="宋体"/>
          <w:szCs w:val="21"/>
        </w:rPr>
      </w:pPr>
      <w:r>
        <w:rPr>
          <w:rFonts w:hint="eastAsia" w:ascii="宋体" w:hAnsi="宋体"/>
          <w:szCs w:val="21"/>
        </w:rPr>
        <w:t>以合同约定为准。</w:t>
      </w:r>
    </w:p>
    <w:p>
      <w:pPr>
        <w:spacing w:line="360" w:lineRule="auto"/>
        <w:rPr>
          <w:rFonts w:ascii="宋体" w:hAnsi="宋体"/>
          <w:szCs w:val="21"/>
        </w:rPr>
      </w:pPr>
      <w:r>
        <w:rPr>
          <w:rFonts w:hint="eastAsia" w:ascii="宋体" w:hAnsi="宋体"/>
          <w:szCs w:val="21"/>
        </w:rPr>
        <w:t>（六）其他</w:t>
      </w:r>
    </w:p>
    <w:p>
      <w:pPr>
        <w:spacing w:line="360" w:lineRule="auto"/>
        <w:rPr>
          <w:rFonts w:ascii="宋体" w:hAnsi="宋体"/>
          <w:szCs w:val="21"/>
        </w:rPr>
      </w:pPr>
      <w:r>
        <w:rPr>
          <w:rFonts w:hint="eastAsia" w:ascii="宋体" w:hAnsi="宋体"/>
          <w:szCs w:val="21"/>
        </w:rPr>
        <w:t xml:space="preserve">6.1.在合同服务期内，如遇机构改革、政策变化，可随时终止与中标方的合同，按实际配送量进行结算，无需支付赔偿金。若政府采购主管部门发现项目有异常情况，以主管部门意见为准。 </w:t>
      </w:r>
    </w:p>
    <w:p>
      <w:pPr>
        <w:spacing w:line="360" w:lineRule="auto"/>
        <w:rPr>
          <w:rFonts w:ascii="宋体" w:hAnsi="宋体"/>
          <w:szCs w:val="21"/>
        </w:rPr>
      </w:pPr>
      <w:r>
        <w:rPr>
          <w:rFonts w:hint="eastAsia" w:ascii="宋体" w:hAnsi="宋体"/>
          <w:szCs w:val="21"/>
        </w:rPr>
        <w:t>6.2.为加强中标供应商的管理，提高中标供应商质量，鼓励优秀供应商，淘汰不良供应商，对中标供应商的服务质量和履约情况进行管理。</w:t>
      </w:r>
    </w:p>
    <w:p>
      <w:pPr>
        <w:spacing w:line="360" w:lineRule="auto"/>
        <w:rPr>
          <w:rFonts w:ascii="宋体" w:hAnsi="宋体"/>
          <w:szCs w:val="21"/>
        </w:rPr>
      </w:pPr>
      <w:r>
        <w:rPr>
          <w:rFonts w:hint="eastAsia" w:ascii="宋体" w:hAnsi="宋体"/>
          <w:szCs w:val="21"/>
        </w:rPr>
        <w:t>6.3.中标供应商有下列行为之一的，经查实，取消其中标供应商资格：</w:t>
      </w:r>
    </w:p>
    <w:p>
      <w:pPr>
        <w:spacing w:line="360" w:lineRule="auto"/>
        <w:rPr>
          <w:rFonts w:ascii="宋体" w:hAnsi="宋体"/>
          <w:szCs w:val="21"/>
        </w:rPr>
      </w:pPr>
      <w:r>
        <w:rPr>
          <w:rFonts w:hint="eastAsia" w:ascii="宋体" w:hAnsi="宋体"/>
          <w:szCs w:val="21"/>
        </w:rPr>
        <w:t>（1）弄虚作假、隐瞒真实情况骗取中标供应商资格的；</w:t>
      </w:r>
    </w:p>
    <w:p>
      <w:pPr>
        <w:spacing w:line="360" w:lineRule="auto"/>
        <w:rPr>
          <w:rFonts w:ascii="宋体" w:hAnsi="宋体"/>
          <w:szCs w:val="21"/>
        </w:rPr>
      </w:pPr>
      <w:r>
        <w:rPr>
          <w:rFonts w:hint="eastAsia" w:ascii="宋体" w:hAnsi="宋体"/>
          <w:szCs w:val="21"/>
        </w:rPr>
        <w:t>（2）因行贿、受贿、串通投标、转包、挂靠受到有关政府部门处罚的；</w:t>
      </w:r>
    </w:p>
    <w:p>
      <w:pPr>
        <w:spacing w:line="360" w:lineRule="auto"/>
        <w:rPr>
          <w:rFonts w:ascii="宋体" w:hAnsi="宋体"/>
          <w:szCs w:val="21"/>
        </w:rPr>
      </w:pPr>
      <w:r>
        <w:rPr>
          <w:rFonts w:hint="eastAsia" w:ascii="宋体" w:hAnsi="宋体"/>
          <w:szCs w:val="21"/>
        </w:rPr>
        <w:t>（3）恶意质疑投诉的；</w:t>
      </w:r>
    </w:p>
    <w:p>
      <w:pPr>
        <w:spacing w:line="360" w:lineRule="auto"/>
        <w:rPr>
          <w:rFonts w:ascii="宋体" w:hAnsi="宋体"/>
          <w:szCs w:val="21"/>
        </w:rPr>
      </w:pPr>
      <w:r>
        <w:rPr>
          <w:rFonts w:hint="eastAsia" w:ascii="宋体" w:hAnsi="宋体"/>
          <w:szCs w:val="21"/>
        </w:rPr>
        <w:t>（4）因其公司资质降低达不到中标供应商资质条件的，或被行业主管部门责令停业或取消资质的；</w:t>
      </w:r>
    </w:p>
    <w:p>
      <w:pPr>
        <w:spacing w:line="360" w:lineRule="auto"/>
        <w:rPr>
          <w:rFonts w:ascii="宋体" w:hAnsi="宋体"/>
          <w:szCs w:val="21"/>
        </w:rPr>
      </w:pPr>
      <w:r>
        <w:rPr>
          <w:rFonts w:hint="eastAsia" w:ascii="宋体" w:hAnsi="宋体"/>
          <w:szCs w:val="21"/>
        </w:rPr>
        <w:t>（5）造成严重后果或恶劣影响的行为；</w:t>
      </w:r>
    </w:p>
    <w:p>
      <w:pPr>
        <w:spacing w:line="360" w:lineRule="auto"/>
        <w:rPr>
          <w:rFonts w:ascii="宋体" w:hAnsi="宋体"/>
          <w:szCs w:val="21"/>
        </w:rPr>
      </w:pPr>
      <w:r>
        <w:rPr>
          <w:rFonts w:hint="eastAsia" w:ascii="宋体" w:hAnsi="宋体"/>
          <w:szCs w:val="21"/>
        </w:rPr>
        <w:t>（6）有商业贿赂行为的；</w:t>
      </w:r>
    </w:p>
    <w:p>
      <w:pPr>
        <w:spacing w:line="360" w:lineRule="auto"/>
        <w:rPr>
          <w:rFonts w:ascii="宋体" w:hAnsi="宋体"/>
          <w:szCs w:val="21"/>
        </w:rPr>
      </w:pPr>
      <w:r>
        <w:rPr>
          <w:rFonts w:hint="eastAsia" w:ascii="宋体" w:hAnsi="宋体"/>
          <w:szCs w:val="21"/>
        </w:rPr>
        <w:t>（7）其他违反法律、法规和协议规定的行为。</w:t>
      </w:r>
    </w:p>
    <w:p>
      <w:pPr>
        <w:spacing w:line="360" w:lineRule="auto"/>
        <w:rPr>
          <w:rFonts w:ascii="宋体" w:hAnsi="宋体"/>
          <w:szCs w:val="21"/>
        </w:rPr>
      </w:pPr>
      <w:r>
        <w:rPr>
          <w:rFonts w:hint="eastAsia" w:ascii="宋体" w:hAnsi="宋体"/>
          <w:szCs w:val="21"/>
        </w:rPr>
        <w:t>6.4.服务供应商在合同执行期间有下列行为之一的，采购人有权依法解除供货服务合同：</w:t>
      </w:r>
    </w:p>
    <w:p>
      <w:pPr>
        <w:spacing w:line="360" w:lineRule="auto"/>
        <w:rPr>
          <w:rFonts w:ascii="宋体" w:hAnsi="宋体"/>
          <w:szCs w:val="21"/>
        </w:rPr>
      </w:pPr>
      <w:r>
        <w:rPr>
          <w:rFonts w:hint="eastAsia" w:ascii="宋体" w:hAnsi="宋体"/>
          <w:szCs w:val="21"/>
        </w:rPr>
        <w:t>（1）选定后无正当理由不与采购单位签订合同的；</w:t>
      </w:r>
    </w:p>
    <w:p>
      <w:pPr>
        <w:spacing w:line="360" w:lineRule="auto"/>
        <w:rPr>
          <w:rFonts w:ascii="宋体" w:hAnsi="宋体"/>
          <w:szCs w:val="21"/>
        </w:rPr>
      </w:pPr>
      <w:r>
        <w:rPr>
          <w:rFonts w:hint="eastAsia" w:ascii="宋体" w:hAnsi="宋体"/>
          <w:szCs w:val="21"/>
        </w:rPr>
        <w:t>（2）擅自变更或者中止采购服务合同的；</w:t>
      </w:r>
    </w:p>
    <w:p>
      <w:pPr>
        <w:spacing w:line="360" w:lineRule="auto"/>
        <w:rPr>
          <w:rFonts w:ascii="宋体" w:hAnsi="宋体"/>
          <w:szCs w:val="21"/>
        </w:rPr>
      </w:pPr>
      <w:r>
        <w:rPr>
          <w:rFonts w:hint="eastAsia" w:ascii="宋体" w:hAnsi="宋体"/>
          <w:szCs w:val="21"/>
        </w:rPr>
        <w:t>（3）不按采购需求、投标文件以及采购服务合同要求全面履约，履约情况评价不合格的；</w:t>
      </w:r>
    </w:p>
    <w:p>
      <w:pPr>
        <w:spacing w:line="360" w:lineRule="auto"/>
        <w:rPr>
          <w:rFonts w:ascii="宋体" w:hAnsi="宋体"/>
          <w:szCs w:val="21"/>
        </w:rPr>
      </w:pPr>
      <w:r>
        <w:rPr>
          <w:rFonts w:hint="eastAsia" w:ascii="宋体" w:hAnsi="宋体"/>
          <w:szCs w:val="21"/>
        </w:rPr>
        <w:t>（4）未按规定出具检测报告或相关承诺书等资料达到二次的；</w:t>
      </w:r>
    </w:p>
    <w:p>
      <w:pPr>
        <w:spacing w:line="360" w:lineRule="auto"/>
        <w:rPr>
          <w:rFonts w:ascii="宋体" w:hAnsi="宋体"/>
          <w:szCs w:val="21"/>
        </w:rPr>
      </w:pPr>
      <w:r>
        <w:rPr>
          <w:rFonts w:hint="eastAsia" w:ascii="宋体" w:hAnsi="宋体"/>
          <w:szCs w:val="21"/>
        </w:rPr>
        <w:t>（5）经核实配送物资不符合采购单位要求达到三次的；</w:t>
      </w:r>
    </w:p>
    <w:p>
      <w:pPr>
        <w:spacing w:line="360" w:lineRule="auto"/>
        <w:rPr>
          <w:rFonts w:ascii="宋体" w:hAnsi="宋体"/>
          <w:szCs w:val="21"/>
        </w:rPr>
      </w:pPr>
      <w:r>
        <w:rPr>
          <w:rFonts w:hint="eastAsia" w:ascii="宋体" w:hAnsi="宋体"/>
          <w:szCs w:val="21"/>
        </w:rPr>
        <w:t>（6）不按要求提供报价达到三次的；</w:t>
      </w:r>
    </w:p>
    <w:p>
      <w:pPr>
        <w:spacing w:line="360" w:lineRule="auto"/>
        <w:rPr>
          <w:rFonts w:ascii="宋体" w:hAnsi="宋体"/>
          <w:szCs w:val="21"/>
        </w:rPr>
      </w:pPr>
      <w:r>
        <w:rPr>
          <w:rFonts w:hint="eastAsia" w:ascii="宋体" w:hAnsi="宋体"/>
          <w:szCs w:val="21"/>
        </w:rPr>
        <w:t>（7）虚高报价达到三次的；</w:t>
      </w:r>
    </w:p>
    <w:p>
      <w:pPr>
        <w:spacing w:line="360" w:lineRule="auto"/>
        <w:rPr>
          <w:rFonts w:ascii="宋体" w:hAnsi="宋体"/>
          <w:szCs w:val="21"/>
        </w:rPr>
      </w:pPr>
      <w:r>
        <w:rPr>
          <w:rFonts w:hint="eastAsia" w:ascii="宋体" w:hAnsi="宋体"/>
          <w:szCs w:val="21"/>
        </w:rPr>
        <w:t>（8）物资或服务以次充好，存在严重质量问题的；</w:t>
      </w:r>
    </w:p>
    <w:p>
      <w:pPr>
        <w:spacing w:line="360" w:lineRule="auto"/>
        <w:rPr>
          <w:rFonts w:ascii="宋体" w:hAnsi="宋体"/>
          <w:szCs w:val="21"/>
        </w:rPr>
      </w:pPr>
      <w:r>
        <w:rPr>
          <w:rFonts w:hint="eastAsia" w:ascii="宋体" w:hAnsi="宋体"/>
          <w:szCs w:val="21"/>
        </w:rPr>
        <w:t>（9）因供应的货物质量达不到国家有关食品安全标准而造成食物中毒或其它后果，经公安机关或卫生防疫部门鉴定属于供应商（配送单位）责任的；</w:t>
      </w:r>
    </w:p>
    <w:p>
      <w:pPr>
        <w:spacing w:line="360" w:lineRule="auto"/>
        <w:rPr>
          <w:rFonts w:ascii="宋体" w:hAnsi="宋体"/>
          <w:szCs w:val="21"/>
        </w:rPr>
      </w:pPr>
      <w:r>
        <w:rPr>
          <w:rFonts w:hint="eastAsia" w:ascii="宋体" w:hAnsi="宋体"/>
          <w:szCs w:val="21"/>
        </w:rPr>
        <w:t>（10）经2次以上（含2次）的有效投诉处理仍不纠正的，有效投诉指的是供应商被投诉内容经查实确定为违反服务合同或其他协议规定的事实；</w:t>
      </w:r>
    </w:p>
    <w:p>
      <w:pPr>
        <w:spacing w:line="360" w:lineRule="auto"/>
        <w:rPr>
          <w:rFonts w:ascii="宋体" w:hAnsi="宋体"/>
          <w:szCs w:val="21"/>
        </w:rPr>
      </w:pPr>
      <w:r>
        <w:rPr>
          <w:rFonts w:hint="eastAsia" w:ascii="宋体" w:hAnsi="宋体"/>
          <w:szCs w:val="21"/>
        </w:rPr>
        <w:t>（11）造成严重后果或恶劣影响的行为。</w:t>
      </w:r>
    </w:p>
    <w:p>
      <w:pPr>
        <w:spacing w:line="360" w:lineRule="auto"/>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A52B7"/>
    <w:multiLevelType w:val="multilevel"/>
    <w:tmpl w:val="02AA52B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DE0249"/>
    <w:multiLevelType w:val="multilevel"/>
    <w:tmpl w:val="51DE0249"/>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5778F6"/>
    <w:multiLevelType w:val="multilevel"/>
    <w:tmpl w:val="535778F6"/>
    <w:lvl w:ilvl="0" w:tentative="0">
      <w:start w:val="1"/>
      <w:numFmt w:val="chineseCountingThousand"/>
      <w:suff w:val="nothing"/>
      <w:lvlText w:val="%1、"/>
      <w:lvlJc w:val="left"/>
      <w:pPr>
        <w:ind w:left="540" w:firstLine="0"/>
      </w:pPr>
      <w:rPr>
        <w:b/>
        <w:i w:val="0"/>
        <w:sz w:val="24"/>
      </w:rPr>
    </w:lvl>
    <w:lvl w:ilvl="1" w:tentative="0">
      <w:start w:val="1"/>
      <w:numFmt w:val="decimal"/>
      <w:suff w:val="nothing"/>
      <w:lvlText w:val="%1. "/>
      <w:lvlJc w:val="left"/>
      <w:pPr>
        <w:ind w:left="0" w:firstLine="0"/>
      </w:pPr>
      <w:rPr>
        <w:b w:val="0"/>
        <w:i w:val="0"/>
        <w:sz w:val="24"/>
      </w:rPr>
    </w:lvl>
    <w:lvl w:ilvl="2" w:tentative="0">
      <w:start w:val="1"/>
      <w:numFmt w:val="decimal"/>
      <w:suff w:val="nothing"/>
      <w:lvlText w:val=""/>
      <w:lvlJc w:val="left"/>
      <w:pPr>
        <w:ind w:left="0" w:firstLine="0"/>
      </w:pPr>
    </w:lvl>
    <w:lvl w:ilvl="3" w:tentative="0">
      <w:start w:val="1"/>
      <w:numFmt w:val="decimal"/>
      <w:pStyle w:val="29"/>
      <w:suff w:val="nothing"/>
      <w:lvlText w:val=""/>
      <w:lvlJc w:val="left"/>
      <w:pPr>
        <w:ind w:left="0" w:firstLine="0"/>
      </w:p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30A0"/>
    <w:rsid w:val="00515D48"/>
    <w:rsid w:val="00724237"/>
    <w:rsid w:val="00822E91"/>
    <w:rsid w:val="0083525C"/>
    <w:rsid w:val="0088616D"/>
    <w:rsid w:val="008930A0"/>
    <w:rsid w:val="0095796C"/>
    <w:rsid w:val="00CB0B86"/>
    <w:rsid w:val="00DB3D23"/>
    <w:rsid w:val="00DB5B9F"/>
    <w:rsid w:val="0CF96A28"/>
    <w:rsid w:val="0FD44DC7"/>
    <w:rsid w:val="0FEC0925"/>
    <w:rsid w:val="272545F7"/>
    <w:rsid w:val="34F56D9A"/>
    <w:rsid w:val="40CA1750"/>
    <w:rsid w:val="54CF47CF"/>
    <w:rsid w:val="5B9629EC"/>
    <w:rsid w:val="72042C9B"/>
    <w:rsid w:val="783D2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widowControl/>
      <w:jc w:val="center"/>
      <w:outlineLvl w:val="0"/>
    </w:pPr>
    <w:rPr>
      <w:rFonts w:ascii="Times New Roman" w:hAnsi="Times New Roman"/>
      <w:b/>
      <w:bCs/>
      <w:kern w:val="0"/>
      <w:sz w:val="32"/>
    </w:rPr>
  </w:style>
  <w:style w:type="paragraph" w:styleId="4">
    <w:name w:val="heading 2"/>
    <w:basedOn w:val="1"/>
    <w:next w:val="1"/>
    <w:qFormat/>
    <w:uiPriority w:val="99"/>
    <w:pPr>
      <w:keepNext/>
      <w:keepLines/>
      <w:spacing w:before="260" w:after="260" w:line="416" w:lineRule="auto"/>
      <w:outlineLvl w:val="1"/>
    </w:pPr>
    <w:rPr>
      <w:rFonts w:ascii="Cambria" w:hAnsi="Cambria"/>
      <w:b/>
      <w:sz w:val="32"/>
    </w:rPr>
  </w:style>
  <w:style w:type="paragraph" w:styleId="5">
    <w:name w:val="heading 3"/>
    <w:basedOn w:val="6"/>
    <w:next w:val="1"/>
    <w:unhideWhenUsed/>
    <w:qFormat/>
    <w:uiPriority w:val="0"/>
    <w:pPr>
      <w:outlineLvl w:val="2"/>
    </w:pPr>
    <w:rPr>
      <w:rFonts w:ascii="楷体_GB2312" w:hAnsi="宋体" w:eastAsia="楷体_GB2312"/>
      <w:sz w:val="32"/>
    </w:rPr>
  </w:style>
  <w:style w:type="paragraph" w:styleId="6">
    <w:name w:val="heading 4"/>
    <w:basedOn w:val="1"/>
    <w:next w:val="1"/>
    <w:unhideWhenUsed/>
    <w:qFormat/>
    <w:uiPriority w:val="0"/>
    <w:pPr>
      <w:keepNext/>
      <w:keepLines/>
      <w:widowControl/>
      <w:spacing w:before="280" w:after="290" w:line="374" w:lineRule="auto"/>
      <w:jc w:val="left"/>
      <w:outlineLvl w:val="3"/>
    </w:pPr>
    <w:rPr>
      <w:rFonts w:ascii="Arial" w:hAnsi="Arial" w:eastAsia="黑体"/>
      <w:b/>
      <w:bCs/>
      <w:kern w:val="0"/>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qFormat/>
    <w:uiPriority w:val="0"/>
    <w:pPr>
      <w:jc w:val="left"/>
    </w:pPr>
  </w:style>
  <w:style w:type="paragraph" w:styleId="9">
    <w:name w:val="Body Text"/>
    <w:basedOn w:val="1"/>
    <w:next w:val="1"/>
    <w:unhideWhenUsed/>
    <w:qFormat/>
    <w:uiPriority w:val="99"/>
    <w:pPr>
      <w:spacing w:after="120"/>
    </w:pPr>
  </w:style>
  <w:style w:type="paragraph" w:styleId="10">
    <w:name w:val="Plain Text"/>
    <w:basedOn w:val="1"/>
    <w:qFormat/>
    <w:uiPriority w:val="0"/>
    <w:rPr>
      <w:rFonts w:ascii="宋体" w:hAnsi="Courier New"/>
    </w:rPr>
  </w:style>
  <w:style w:type="paragraph" w:styleId="11">
    <w:name w:val="Body Text Indent 2"/>
    <w:basedOn w:val="1"/>
    <w:unhideWhenUsed/>
    <w:qFormat/>
    <w:uiPriority w:val="99"/>
    <w:pPr>
      <w:spacing w:line="540" w:lineRule="exact"/>
      <w:ind w:left="462" w:leftChars="220"/>
    </w:pPr>
    <w:rPr>
      <w:sz w:val="24"/>
    </w:rPr>
  </w:style>
  <w:style w:type="paragraph" w:styleId="12">
    <w:name w:val="Balloon Text"/>
    <w:basedOn w:val="1"/>
    <w:link w:val="23"/>
    <w:qFormat/>
    <w:uiPriority w:val="0"/>
    <w:rPr>
      <w:sz w:val="18"/>
      <w:szCs w:val="18"/>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styleId="20">
    <w:name w:val="List Paragraph"/>
    <w:basedOn w:val="1"/>
    <w:qFormat/>
    <w:uiPriority w:val="34"/>
    <w:pPr>
      <w:ind w:firstLine="420" w:firstLineChars="200"/>
    </w:pPr>
  </w:style>
  <w:style w:type="character" w:customStyle="1" w:styleId="21">
    <w:name w:val="标题 1字符"/>
    <w:qFormat/>
    <w:locked/>
    <w:uiPriority w:val="99"/>
    <w:rPr>
      <w:rFonts w:ascii="Times New Roman" w:hAnsi="Times New Roman" w:eastAsia="宋体" w:cs="Times New Roman"/>
      <w:b/>
      <w:kern w:val="44"/>
      <w:sz w:val="44"/>
    </w:rPr>
  </w:style>
  <w:style w:type="paragraph" w:customStyle="1" w:styleId="22">
    <w:name w:val="Char"/>
    <w:basedOn w:val="1"/>
    <w:qFormat/>
    <w:uiPriority w:val="0"/>
    <w:pPr>
      <w:widowControl/>
      <w:spacing w:after="160" w:line="240" w:lineRule="exact"/>
      <w:jc w:val="left"/>
    </w:pPr>
    <w:rPr>
      <w:rFonts w:ascii="Verdana" w:hAnsi="Verdana"/>
      <w:kern w:val="0"/>
      <w:sz w:val="20"/>
      <w:lang w:eastAsia="en-US"/>
    </w:rPr>
  </w:style>
  <w:style w:type="character" w:customStyle="1" w:styleId="23">
    <w:name w:val="批注框文本 Char"/>
    <w:basedOn w:val="17"/>
    <w:link w:val="12"/>
    <w:qFormat/>
    <w:uiPriority w:val="0"/>
    <w:rPr>
      <w:rFonts w:asciiTheme="minorHAnsi" w:hAnsiTheme="minorHAnsi" w:eastAsiaTheme="minorEastAsia" w:cstheme="minorBidi"/>
      <w:kern w:val="2"/>
      <w:sz w:val="18"/>
      <w:szCs w:val="18"/>
    </w:rPr>
  </w:style>
  <w:style w:type="paragraph" w:customStyle="1" w:styleId="24">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25">
    <w:name w:val="页眉 Char"/>
    <w:basedOn w:val="17"/>
    <w:link w:val="2"/>
    <w:qFormat/>
    <w:uiPriority w:val="0"/>
    <w:rPr>
      <w:rFonts w:asciiTheme="minorHAnsi" w:hAnsiTheme="minorHAnsi" w:eastAsiaTheme="minorEastAsia" w:cstheme="minorBidi"/>
      <w:kern w:val="2"/>
      <w:sz w:val="18"/>
      <w:szCs w:val="18"/>
    </w:rPr>
  </w:style>
  <w:style w:type="character" w:customStyle="1" w:styleId="26">
    <w:name w:val="页脚 Char"/>
    <w:basedOn w:val="17"/>
    <w:link w:val="13"/>
    <w:qFormat/>
    <w:uiPriority w:val="0"/>
    <w:rPr>
      <w:rFonts w:asciiTheme="minorHAnsi" w:hAnsiTheme="minorHAnsi" w:eastAsiaTheme="minorEastAsia" w:cstheme="minorBidi"/>
      <w:kern w:val="2"/>
      <w:sz w:val="18"/>
      <w:szCs w:val="18"/>
    </w:rPr>
  </w:style>
  <w:style w:type="paragraph" w:customStyle="1" w:styleId="27">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28">
    <w:name w:val="BodyText"/>
    <w:basedOn w:val="1"/>
    <w:next w:val="29"/>
    <w:qFormat/>
    <w:uiPriority w:val="0"/>
    <w:pPr>
      <w:textAlignment w:val="baseline"/>
    </w:pPr>
    <w:rPr>
      <w:rFonts w:ascii="Times New Roman" w:hAnsi="Times New Roman" w:eastAsia="宋体"/>
      <w:kern w:val="0"/>
      <w:sz w:val="20"/>
    </w:rPr>
  </w:style>
  <w:style w:type="paragraph" w:customStyle="1" w:styleId="29">
    <w:name w:val="Heading4"/>
    <w:basedOn w:val="1"/>
    <w:next w:val="1"/>
    <w:qFormat/>
    <w:uiPriority w:val="0"/>
    <w:pPr>
      <w:keepNext/>
      <w:keepLines/>
      <w:numPr>
        <w:ilvl w:val="3"/>
        <w:numId w:val="1"/>
      </w:numPr>
      <w:spacing w:before="280" w:after="290" w:line="376" w:lineRule="auto"/>
      <w:textAlignment w:val="baseline"/>
    </w:pPr>
    <w:rPr>
      <w:rFonts w:ascii="Arial" w:hAnsi="Arial" w:eastAsia="黑体"/>
      <w:b/>
      <w:sz w:val="28"/>
      <w:szCs w:val="20"/>
    </w:rPr>
  </w:style>
  <w:style w:type="paragraph" w:customStyle="1" w:styleId="30">
    <w:name w:val="列出段落1"/>
    <w:basedOn w:val="1"/>
    <w:qFormat/>
    <w:uiPriority w:val="34"/>
    <w:pPr>
      <w:autoSpaceDE w:val="0"/>
      <w:autoSpaceDN w:val="0"/>
      <w:adjustRightInd w:val="0"/>
      <w:ind w:firstLine="420" w:firstLineChars="200"/>
      <w:jc w:val="left"/>
    </w:pPr>
    <w:rPr>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592</Words>
  <Characters>3377</Characters>
  <Lines>28</Lines>
  <Paragraphs>7</Paragraphs>
  <TotalTime>5</TotalTime>
  <ScaleCrop>false</ScaleCrop>
  <LinksUpToDate>false</LinksUpToDate>
  <CharactersWithSpaces>3962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2021-06-29T08:28:00Z</dcterms:created>
  <dc:creator>mayn</dc:creator>
  <cp:lastModifiedBy>Administrator</cp:lastModifiedBy>
  <dcterms:modified xsi:type="dcterms:W3CDTF">2021-07-23T12:18:32Z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84EF2919D9D6413CB6EEEA9F665E4E05</vt:lpwstr>
  </property>
</Properties>
</file>